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lang w:val="en-US" w:eastAsia="zh-CN"/>
        </w:rPr>
        <w:drawing>
          <wp:inline distT="0" distB="0" distL="0" distR="0">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1">
                      <a:extLst>
                        <a:ext uri="{28A0092B-C50C-407E-A947-70E740481C1C}">
                          <a14:useLocalDpi xmlns:a14="http://schemas.microsoft.com/office/drawing/2010/main" val="0"/>
                        </a:ext>
                      </a:extLst>
                    </a:blip>
                    <a:srcRect l="12876" t="21702" r="12876" b="21702"/>
                    <a:stretch>
                      <a:fillRect/>
                    </a:stretch>
                  </pic:blipFill>
                  <pic:spPr>
                    <a:xfrm>
                      <a:off x="0" y="0"/>
                      <a:ext cx="1619885" cy="619125"/>
                    </a:xfrm>
                    <a:prstGeom prst="rect">
                      <a:avLst/>
                    </a:prstGeom>
                    <a:ln>
                      <a:noFill/>
                    </a:ln>
                  </pic:spPr>
                </pic:pic>
              </a:graphicData>
            </a:graphic>
          </wp:inline>
        </w:drawing>
      </w:r>
    </w:p>
    <w:p>
      <w:pPr>
        <w:jc w:val="center"/>
        <w:rPr>
          <w:b/>
          <w:szCs w:val="22"/>
          <w:u w:val="single"/>
        </w:rPr>
      </w:pPr>
      <w:r>
        <w:rPr>
          <w:b/>
          <w:szCs w:val="22"/>
          <w:u w:val="single"/>
        </w:rPr>
        <w:t>POST DESCRIPTION</w:t>
      </w:r>
    </w:p>
    <w:p>
      <w:pPr>
        <w:jc w:val="center"/>
        <w:rPr>
          <w:b/>
          <w:szCs w:val="22"/>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30"/>
        <w:gridCol w:w="580"/>
        <w:gridCol w:w="4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2" w:type="dxa"/>
            <w:gridSpan w:val="3"/>
            <w:shd w:val="clear" w:color="auto" w:fill="C0C0C0"/>
            <w:vAlign w:val="center"/>
          </w:tcPr>
          <w:p>
            <w:pPr>
              <w:pStyle w:val="2"/>
            </w:pPr>
            <w:r>
              <w:t>I. Position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 w:hRule="atLeast"/>
        </w:trPr>
        <w:tc>
          <w:tcPr>
            <w:tcW w:w="3430" w:type="dxa"/>
            <w:shd w:val="clear" w:color="auto" w:fill="auto"/>
          </w:tcPr>
          <w:p>
            <w:pPr>
              <w:pStyle w:val="13"/>
              <w:jc w:val="left"/>
              <w:rPr>
                <w:szCs w:val="22"/>
              </w:rPr>
            </w:pPr>
            <w:r>
              <w:rPr>
                <w:szCs w:val="22"/>
              </w:rPr>
              <w:t>Position title</w:t>
            </w:r>
          </w:p>
        </w:tc>
        <w:tc>
          <w:tcPr>
            <w:tcW w:w="4872" w:type="dxa"/>
            <w:gridSpan w:val="2"/>
            <w:shd w:val="clear" w:color="auto" w:fill="auto"/>
          </w:tcPr>
          <w:p>
            <w:pPr>
              <w:pStyle w:val="13"/>
              <w:jc w:val="left"/>
              <w:rPr>
                <w:szCs w:val="22"/>
              </w:rPr>
            </w:pPr>
            <w:bookmarkStart w:id="0" w:name="_GoBack"/>
            <w:bookmarkEnd w:id="0"/>
            <w:r>
              <w:rPr>
                <w:szCs w:val="22"/>
              </w:rPr>
              <w:t>Intern – IBM and DRR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3"/>
              <w:jc w:val="left"/>
              <w:rPr>
                <w:szCs w:val="22"/>
              </w:rPr>
            </w:pPr>
            <w:r>
              <w:rPr>
                <w:szCs w:val="22"/>
              </w:rPr>
              <w:t>Duty station</w:t>
            </w:r>
          </w:p>
        </w:tc>
        <w:tc>
          <w:tcPr>
            <w:tcW w:w="4872" w:type="dxa"/>
            <w:gridSpan w:val="2"/>
            <w:shd w:val="clear" w:color="auto" w:fill="auto"/>
          </w:tcPr>
          <w:p>
            <w:pPr>
              <w:pStyle w:val="13"/>
              <w:jc w:val="left"/>
              <w:rPr>
                <w:szCs w:val="22"/>
              </w:rPr>
            </w:pPr>
            <w:r>
              <w:rPr>
                <w:szCs w:val="22"/>
              </w:rPr>
              <w:t>Ulaanbaatar, Mongolia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3"/>
              <w:jc w:val="left"/>
              <w:rPr>
                <w:szCs w:val="22"/>
              </w:rPr>
            </w:pPr>
            <w:r>
              <w:rPr>
                <w:szCs w:val="22"/>
              </w:rPr>
              <w:t>Organizational unit</w:t>
            </w:r>
          </w:p>
        </w:tc>
        <w:tc>
          <w:tcPr>
            <w:tcW w:w="4872" w:type="dxa"/>
            <w:gridSpan w:val="2"/>
            <w:shd w:val="clear" w:color="auto" w:fill="auto"/>
          </w:tcPr>
          <w:p>
            <w:pPr>
              <w:pStyle w:val="13"/>
              <w:jc w:val="left"/>
              <w:rPr>
                <w:szCs w:val="22"/>
              </w:rPr>
            </w:pPr>
            <w:r>
              <w:rPr>
                <w:szCs w:val="22"/>
              </w:rPr>
              <w:t>IBM and DRR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3"/>
              <w:jc w:val="left"/>
              <w:rPr>
                <w:szCs w:val="22"/>
              </w:rPr>
            </w:pPr>
            <w:r>
              <w:rPr>
                <w:szCs w:val="22"/>
              </w:rPr>
              <w:t>Is this a Regional, HQ, MAC, PAC, Liaison Office or Country Office based position?</w:t>
            </w:r>
          </w:p>
        </w:tc>
        <w:tc>
          <w:tcPr>
            <w:tcW w:w="4872" w:type="dxa"/>
            <w:gridSpan w:val="2"/>
            <w:shd w:val="clear" w:color="auto" w:fill="auto"/>
          </w:tcPr>
          <w:p>
            <w:pPr>
              <w:pStyle w:val="13"/>
              <w:jc w:val="left"/>
              <w:rPr>
                <w:szCs w:val="22"/>
              </w:rPr>
            </w:pPr>
            <w:r>
              <w:rPr>
                <w:szCs w:val="22"/>
              </w:rPr>
              <w:t>Country Office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3"/>
              <w:rPr>
                <w:szCs w:val="22"/>
              </w:rPr>
            </w:pPr>
            <w:r>
              <w:rPr>
                <w:szCs w:val="22"/>
              </w:rPr>
              <w:t xml:space="preserve">Reports directly to </w:t>
            </w:r>
          </w:p>
        </w:tc>
        <w:tc>
          <w:tcPr>
            <w:tcW w:w="4872" w:type="dxa"/>
            <w:gridSpan w:val="2"/>
            <w:shd w:val="clear" w:color="auto" w:fill="auto"/>
          </w:tcPr>
          <w:p>
            <w:pPr>
              <w:pStyle w:val="13"/>
              <w:rPr>
                <w:szCs w:val="22"/>
              </w:rPr>
            </w:pPr>
            <w:r>
              <w:rPr>
                <w:szCs w:val="22"/>
              </w:rPr>
              <w:t>Programme Manager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2" w:type="dxa"/>
            <w:gridSpan w:val="3"/>
            <w:shd w:val="clear" w:color="auto" w:fill="C0C0C0"/>
            <w:vAlign w:val="center"/>
          </w:tcPr>
          <w:p>
            <w:pPr>
              <w:pStyle w:val="2"/>
              <w:jc w:val="left"/>
            </w:pPr>
            <w:r>
              <w:t>II. Organizational Context and Scope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8302" w:type="dxa"/>
            <w:gridSpan w:val="3"/>
            <w:shd w:val="clear" w:color="auto" w:fill="auto"/>
            <w:tcMar>
              <w:top w:w="142" w:type="dxa"/>
              <w:bottom w:w="142" w:type="dxa"/>
            </w:tcMar>
          </w:tcPr>
          <w:p>
            <w:pPr>
              <w:rPr>
                <w:b/>
                <w:szCs w:val="22"/>
                <w:u w:val="single"/>
              </w:rPr>
            </w:pPr>
            <w:r>
              <w:rPr>
                <w:b/>
                <w:szCs w:val="22"/>
                <w:u w:val="single"/>
              </w:rPr>
              <w:t>Background Information</w:t>
            </w:r>
          </w:p>
          <w:p>
            <w:pPr>
              <w:rPr>
                <w:color w:val="000000"/>
                <w:sz w:val="20"/>
              </w:rPr>
            </w:pPr>
            <w:r>
              <w:rPr>
                <w:color w:val="000000"/>
                <w:sz w:val="20"/>
              </w:rPr>
              <w:t>Established in 1951, IOM is a Related Organization of the United Nations, and as the leading UN agency in the field of migration, works closely with governmental, intergovernmental and non-governmental partners. IOM is dedicated to promoting humane and orderly migration for the benefit of all. It does so by providing services and advice to governments and migrants.</w:t>
            </w:r>
          </w:p>
          <w:p>
            <w:pPr>
              <w:shd w:val="clear" w:color="auto" w:fill="FFFFFF"/>
              <w:autoSpaceDE/>
              <w:autoSpaceDN/>
              <w:adjustRightInd/>
              <w:spacing w:before="100" w:beforeAutospacing="1" w:after="100" w:afterAutospacing="1"/>
              <w:rPr>
                <w:color w:val="000000"/>
                <w:sz w:val="20"/>
              </w:rPr>
            </w:pPr>
            <w:r>
              <w:rPr>
                <w:color w:val="000000"/>
                <w:sz w:val="20"/>
              </w:rPr>
              <w:t>Mongolia joined IOM as a member in 2008. IOM activities in the country are grounded on a Cooperation Agreement signed on 27 November 2010. In 2011, IOM opened an office in Ulaanbaatar and since then has been contributing to the efforts of the Government of Mongolia to manage migration effectively through a wide variety of projects and programmes.</w:t>
            </w:r>
          </w:p>
          <w:p>
            <w:pPr>
              <w:shd w:val="clear" w:color="auto" w:fill="FFFFFF"/>
              <w:autoSpaceDE/>
              <w:autoSpaceDN/>
              <w:adjustRightInd/>
              <w:spacing w:before="100" w:beforeAutospacing="1" w:after="100" w:afterAutospacing="1"/>
              <w:rPr>
                <w:color w:val="000000"/>
                <w:sz w:val="20"/>
              </w:rPr>
            </w:pPr>
            <w:r>
              <w:rPr>
                <w:color w:val="000000"/>
                <w:sz w:val="20"/>
              </w:rPr>
              <w:t>Within the IOM’s Immigration and Border Management (IBM) mandate, IOM supports Mongolia in strengthening the operational capability of border management systems and enhancing concerted border management cooperation between various stakeholders. It encompasses national and international coordination and cooperation among all relevant authorities and agencies involved in border management and trade facilitation in order to establish effective, efficient and coordinated border management. Integrated border management seeks to enhance three levels of coordination: intra-service, inter-agency and international cooperation.</w:t>
            </w:r>
          </w:p>
          <w:p>
            <w:pPr>
              <w:pStyle w:val="12"/>
              <w:shd w:val="clear" w:color="auto" w:fill="FFFFFF"/>
              <w:rPr>
                <w:color w:val="000000"/>
                <w:sz w:val="20"/>
                <w:szCs w:val="20"/>
                <w:lang w:eastAsia="en-GB"/>
              </w:rPr>
            </w:pPr>
            <w:r>
              <w:rPr>
                <w:color w:val="000000"/>
                <w:sz w:val="20"/>
                <w:szCs w:val="20"/>
                <w:lang w:eastAsia="en-GB"/>
              </w:rPr>
              <w:t>Another important mandate of IOM is Disaster Risk Reduction and Resilience (DRR). IOM supports States’ efforts to implement the priorities of the Sendai Framework for Disaster Risk Reduction by preventing and addressing disaster-related population movements and by harnessing the value that mobility can bring to reducing risk and building resilience to multi-hazard risk. </w:t>
            </w:r>
          </w:p>
          <w:p>
            <w:pPr>
              <w:shd w:val="clear" w:color="auto" w:fill="FFFFFF"/>
              <w:autoSpaceDE/>
              <w:autoSpaceDN/>
              <w:adjustRightInd/>
              <w:spacing w:before="100" w:beforeAutospacing="1" w:after="100" w:afterAutospacing="1"/>
              <w:rPr>
                <w:color w:val="000000"/>
                <w:sz w:val="20"/>
              </w:rPr>
            </w:pPr>
            <w:r>
              <w:rPr>
                <w:color w:val="000000"/>
                <w:sz w:val="20"/>
              </w:rPr>
              <w:t>IOM programming includes assistance to countries to develop or update national and local Disaster Risk Reduction (DRR) and Climate Change Adaptation (CCA) policies and strategies that integrate human mobility considerations. In communities facing high-risk of disasters and displacement, the Organization supports hazard and vulnerability analysis, community-based disaster risk management, livelihoods' diversification strategies and community early warning and preparedness systems to prevent risk and enable more effective response. IOM also provides policy and operational support to countries needed.</w:t>
            </w:r>
          </w:p>
          <w:p>
            <w:pPr>
              <w:rPr>
                <w:b/>
                <w:color w:val="E46C0A" w:themeColor="accent6" w:themeShade="BF"/>
                <w:szCs w:val="22"/>
                <w:u w:val="single"/>
              </w:rPr>
            </w:pPr>
            <w:r>
              <w:rPr>
                <w:b/>
                <w:szCs w:val="22"/>
                <w:u w:val="single"/>
              </w:rPr>
              <w:t>Supervision</w:t>
            </w:r>
          </w:p>
          <w:p>
            <w:pPr>
              <w:rPr>
                <w:i/>
                <w:iCs/>
                <w:color w:val="FF0000"/>
              </w:rPr>
            </w:pPr>
            <w:r>
              <w:rPr>
                <w:color w:val="000000"/>
                <w:sz w:val="20"/>
              </w:rPr>
              <w:t>The successful candidate will work under the overall supervision of the Chief of Mission, the direct supervision of the Programme Manager, and in cooperation with other colleagues in the IBM and DRR Divisions, at IOM HQ, RO and field Missions. S/he will pursue the following duties: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2" w:type="dxa"/>
            <w:gridSpan w:val="3"/>
            <w:shd w:val="clear" w:color="auto" w:fill="C0C0C0"/>
            <w:vAlign w:val="center"/>
          </w:tcPr>
          <w:p>
            <w:pPr>
              <w:pStyle w:val="2"/>
            </w:pPr>
            <w:r>
              <w:t>III. Responsibilities and Accountabilities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8302" w:type="dxa"/>
            <w:gridSpan w:val="3"/>
            <w:tcBorders>
              <w:bottom w:val="single" w:color="auto" w:sz="4" w:space="0"/>
            </w:tcBorders>
            <w:shd w:val="clear" w:color="auto" w:fill="auto"/>
          </w:tcPr>
          <w:p>
            <w:pPr>
              <w:pStyle w:val="22"/>
              <w:numPr>
                <w:ilvl w:val="0"/>
                <w:numId w:val="2"/>
              </w:numPr>
              <w:spacing w:before="100" w:beforeAutospacing="1" w:after="100" w:afterAutospacing="1"/>
              <w:jc w:val="left"/>
              <w:rPr>
                <w:color w:val="auto"/>
              </w:rPr>
            </w:pPr>
            <w:r>
              <w:rPr>
                <w:color w:val="auto"/>
              </w:rPr>
              <w:t xml:space="preserve">Provide assistance to the project development of IBM and DRR programmes and projects </w:t>
            </w:r>
          </w:p>
          <w:p>
            <w:pPr>
              <w:pStyle w:val="22"/>
              <w:numPr>
                <w:ilvl w:val="0"/>
                <w:numId w:val="2"/>
              </w:numPr>
              <w:spacing w:before="100" w:beforeAutospacing="1" w:after="100" w:afterAutospacing="1"/>
              <w:jc w:val="left"/>
              <w:rPr>
                <w:color w:val="auto"/>
              </w:rPr>
            </w:pPr>
            <w:r>
              <w:rPr>
                <w:color w:val="auto"/>
              </w:rPr>
              <w:t>Conduct small desk reviews, research and studies to explore new projects and interventions on IBM and DRR</w:t>
            </w:r>
          </w:p>
          <w:p>
            <w:pPr>
              <w:pStyle w:val="22"/>
              <w:numPr>
                <w:ilvl w:val="0"/>
                <w:numId w:val="2"/>
              </w:numPr>
              <w:spacing w:before="100" w:beforeAutospacing="1" w:after="100" w:afterAutospacing="1"/>
              <w:jc w:val="left"/>
              <w:rPr>
                <w:color w:val="auto"/>
              </w:rPr>
            </w:pPr>
            <w:r>
              <w:rPr>
                <w:color w:val="auto"/>
              </w:rPr>
              <w:t>Support drafting of concept notes and project documents for the new interventions related to IBM and DRR;</w:t>
            </w:r>
          </w:p>
          <w:p>
            <w:pPr>
              <w:pStyle w:val="22"/>
              <w:numPr>
                <w:ilvl w:val="0"/>
                <w:numId w:val="2"/>
              </w:numPr>
              <w:spacing w:before="100" w:beforeAutospacing="1" w:after="100" w:afterAutospacing="1"/>
              <w:jc w:val="left"/>
              <w:rPr>
                <w:color w:val="auto"/>
              </w:rPr>
            </w:pPr>
            <w:r>
              <w:rPr>
                <w:color w:val="auto"/>
              </w:rPr>
              <w:t xml:space="preserve">Support the planning and organization of meetings, workshops, trainings, etc. </w:t>
            </w:r>
          </w:p>
          <w:p>
            <w:pPr>
              <w:pStyle w:val="22"/>
              <w:numPr>
                <w:ilvl w:val="0"/>
                <w:numId w:val="2"/>
              </w:numPr>
              <w:spacing w:before="100" w:beforeAutospacing="1" w:after="100" w:afterAutospacing="1"/>
              <w:jc w:val="left"/>
              <w:rPr>
                <w:color w:val="auto"/>
              </w:rPr>
            </w:pPr>
            <w:r>
              <w:rPr>
                <w:color w:val="auto"/>
              </w:rPr>
              <w:t xml:space="preserve">Participate in meetings related to IOM’s activities; </w:t>
            </w:r>
          </w:p>
          <w:p>
            <w:pPr>
              <w:pStyle w:val="22"/>
              <w:numPr>
                <w:ilvl w:val="0"/>
                <w:numId w:val="2"/>
              </w:numPr>
              <w:spacing w:before="100" w:beforeAutospacing="1" w:after="100" w:afterAutospacing="1"/>
              <w:jc w:val="left"/>
              <w:rPr>
                <w:color w:val="auto"/>
              </w:rPr>
            </w:pPr>
            <w:r>
              <w:rPr>
                <w:color w:val="auto"/>
              </w:rPr>
              <w:t>Perform such other duties as may be assigned by the Programme Manager.</w:t>
            </w:r>
          </w:p>
          <w:p>
            <w:pPr>
              <w:rPr>
                <w:b/>
                <w:bCs/>
                <w:u w:val="single"/>
              </w:rPr>
            </w:pPr>
            <w:r>
              <w:rPr>
                <w:b/>
                <w:bCs/>
                <w:u w:val="single"/>
              </w:rPr>
              <w:t>Training Components and Learning Elements</w:t>
            </w:r>
          </w:p>
          <w:p>
            <w:pPr>
              <w:pStyle w:val="22"/>
              <w:numPr>
                <w:ilvl w:val="0"/>
                <w:numId w:val="3"/>
              </w:numPr>
              <w:spacing w:before="100" w:beforeAutospacing="1" w:after="100" w:afterAutospacing="1"/>
              <w:jc w:val="left"/>
            </w:pPr>
            <w:r>
              <w:t>Project development trainings and experience</w:t>
            </w:r>
          </w:p>
          <w:p>
            <w:pPr>
              <w:pStyle w:val="22"/>
              <w:numPr>
                <w:ilvl w:val="0"/>
                <w:numId w:val="3"/>
              </w:numPr>
              <w:spacing w:before="100" w:beforeAutospacing="1" w:after="100" w:afterAutospacing="1"/>
              <w:jc w:val="left"/>
            </w:pPr>
            <w:r>
              <w:t>Access to various project and migration-related field trainings</w:t>
            </w:r>
          </w:p>
          <w:p>
            <w:pPr>
              <w:pStyle w:val="22"/>
              <w:numPr>
                <w:ilvl w:val="0"/>
                <w:numId w:val="3"/>
              </w:numPr>
              <w:spacing w:before="100" w:beforeAutospacing="1" w:after="100" w:afterAutospacing="1"/>
              <w:jc w:val="left"/>
              <w:rPr>
                <w:color w:val="auto"/>
              </w:rPr>
            </w:pPr>
            <w:r>
              <w:rPr>
                <w:color w:val="auto"/>
              </w:rPr>
              <w:t>Mentorship and guidance from long-serving UN personnel</w:t>
            </w:r>
          </w:p>
          <w:p>
            <w:pPr>
              <w:pStyle w:val="22"/>
              <w:numPr>
                <w:ilvl w:val="0"/>
                <w:numId w:val="3"/>
              </w:numPr>
              <w:spacing w:before="100" w:beforeAutospacing="1" w:after="100" w:afterAutospacing="1"/>
              <w:jc w:val="left"/>
              <w:rPr>
                <w:color w:val="auto"/>
              </w:rPr>
            </w:pPr>
            <w:r>
              <w:rPr>
                <w:color w:val="auto"/>
              </w:rPr>
              <w:t>Teamwork</w:t>
            </w:r>
          </w:p>
          <w:p>
            <w:pPr>
              <w:pStyle w:val="22"/>
              <w:numPr>
                <w:ilvl w:val="0"/>
                <w:numId w:val="3"/>
              </w:numPr>
              <w:spacing w:before="100" w:beforeAutospacing="1" w:after="100" w:afterAutospacing="1"/>
              <w:jc w:val="left"/>
              <w:rPr>
                <w:color w:val="auto"/>
              </w:rPr>
            </w:pPr>
            <w:r>
              <w:rPr>
                <w:color w:val="auto"/>
              </w:rPr>
              <w:t>Time Management</w:t>
            </w:r>
          </w:p>
          <w:p>
            <w:pPr>
              <w:pStyle w:val="22"/>
              <w:numPr>
                <w:ilvl w:val="0"/>
                <w:numId w:val="3"/>
              </w:numPr>
              <w:spacing w:before="100" w:beforeAutospacing="1" w:after="100" w:afterAutospacing="1"/>
              <w:jc w:val="left"/>
              <w:rPr>
                <w:color w:val="auto"/>
              </w:rPr>
            </w:pPr>
            <w:r>
              <w:rPr>
                <w:color w:val="auto"/>
              </w:rPr>
              <w:t>Working in international organizations, supporting the most vulnerable</w:t>
            </w:r>
          </w:p>
          <w:p>
            <w:pPr>
              <w:pStyle w:val="22"/>
              <w:numPr>
                <w:ilvl w:val="0"/>
                <w:numId w:val="3"/>
              </w:numPr>
              <w:spacing w:before="100" w:beforeAutospacing="1" w:after="100" w:afterAutospacing="1"/>
              <w:jc w:val="left"/>
              <w:rPr>
                <w:color w:val="auto"/>
              </w:rPr>
            </w:pPr>
            <w:r>
              <w:rPr>
                <w:color w:val="auto"/>
              </w:rPr>
              <w:t>First-hand experience to engage with important stakeholders, including the government and development partners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302" w:type="dxa"/>
            <w:gridSpan w:val="3"/>
            <w:tcBorders>
              <w:bottom w:val="single" w:color="auto" w:sz="4" w:space="0"/>
            </w:tcBorders>
            <w:shd w:val="clear" w:color="auto" w:fill="C0C0C0"/>
            <w:vAlign w:val="center"/>
          </w:tcPr>
          <w:p>
            <w:pPr>
              <w:pStyle w:val="2"/>
            </w:pPr>
            <w:r>
              <w:t>IV. Required Qualifications and Experience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8302" w:type="dxa"/>
            <w:gridSpan w:val="3"/>
            <w:shd w:val="clear" w:color="auto" w:fill="D9D9D9"/>
            <w:vAlign w:val="center"/>
          </w:tcPr>
          <w:p>
            <w:pPr>
              <w:pStyle w:val="2"/>
              <w:rPr>
                <w:b w:val="0"/>
              </w:rPr>
            </w:pPr>
            <w:r>
              <w:rPr>
                <w:szCs w:val="22"/>
                <w:lang w:eastAsia="en-US"/>
              </w:rPr>
              <w:t>Education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bottom w:val="single" w:color="auto" w:sz="4" w:space="0"/>
            </w:tcBorders>
            <w:shd w:val="clear" w:color="auto" w:fill="auto"/>
          </w:tcPr>
          <w:tbl>
            <w:tblPr>
              <w:tblStyle w:val="1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0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0" w:type="auto"/>
                </w:tcPr>
                <w:p>
                  <w:pPr>
                    <w:pStyle w:val="22"/>
                    <w:numPr>
                      <w:ilvl w:val="0"/>
                      <w:numId w:val="4"/>
                    </w:numPr>
                    <w:spacing w:before="100" w:beforeAutospacing="1" w:after="100" w:afterAutospacing="1"/>
                    <w:jc w:val="left"/>
                  </w:pPr>
                  <w:r>
                    <w:t>Enrolled in a university degree in a relevant field from an accredited academic institution.</w:t>
                  </w:r>
                </w:p>
                <w:p>
                  <w:pPr>
                    <w:pStyle w:val="22"/>
                    <w:numPr>
                      <w:ilvl w:val="0"/>
                      <w:numId w:val="4"/>
                    </w:numPr>
                    <w:spacing w:before="100" w:beforeAutospacing="1" w:after="100" w:afterAutospacing="1"/>
                    <w:jc w:val="left"/>
                  </w:pPr>
                  <w:r>
                    <w:t>Bachelor’s degree or master’s degree as defined above from an accredited academic institution.</w:t>
                  </w:r>
                </w:p>
              </w:tc>
            </w:tr>
          </w:tbl>
          <w:p>
            <w:pPr>
              <w:autoSpaceDE/>
              <w:autoSpaceDN/>
              <w:adjustRightInd/>
              <w:spacing w:after="0"/>
              <w:rPr>
                <w:color w:val="FF000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302" w:type="dxa"/>
            <w:gridSpan w:val="3"/>
            <w:shd w:val="clear" w:color="auto" w:fill="D9D9D9"/>
            <w:vAlign w:val="center"/>
          </w:tcPr>
          <w:p>
            <w:pPr>
              <w:pStyle w:val="2"/>
              <w:rPr>
                <w:b w:val="0"/>
                <w:lang w:val="en-US" w:eastAsia="en-US"/>
              </w:rPr>
            </w:pPr>
            <w:r>
              <w:rPr>
                <w:szCs w:val="22"/>
                <w:lang w:eastAsia="en-US"/>
              </w:rPr>
              <w:t xml:space="preserve">Experience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shd w:val="clear" w:color="auto" w:fill="auto"/>
          </w:tcPr>
          <w:p>
            <w:pPr>
              <w:pStyle w:val="22"/>
              <w:numPr>
                <w:ilvl w:val="0"/>
                <w:numId w:val="5"/>
              </w:numPr>
              <w:spacing w:before="100" w:beforeAutospacing="1" w:after="0"/>
              <w:jc w:val="left"/>
            </w:pPr>
            <w:r>
              <w:t>Experience in migration-related programmes or projects would be considered an advantage;</w:t>
            </w:r>
          </w:p>
          <w:p>
            <w:pPr>
              <w:pStyle w:val="22"/>
              <w:numPr>
                <w:ilvl w:val="0"/>
                <w:numId w:val="5"/>
              </w:numPr>
              <w:spacing w:before="100" w:beforeAutospacing="1" w:after="100" w:afterAutospacing="1"/>
              <w:jc w:val="left"/>
            </w:pPr>
            <w:r>
              <w:t>Experience in project development would be considered an asset;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302" w:type="dxa"/>
            <w:gridSpan w:val="3"/>
            <w:shd w:val="clear" w:color="auto" w:fill="D9D9D9"/>
            <w:vAlign w:val="center"/>
          </w:tcPr>
          <w:p>
            <w:pPr>
              <w:pStyle w:val="2"/>
              <w:rPr>
                <w:b w:val="0"/>
                <w:lang w:val="en-US" w:eastAsia="en-US"/>
              </w:rPr>
            </w:pPr>
            <w:r>
              <w:rPr>
                <w:szCs w:val="22"/>
                <w:lang w:eastAsia="en-US"/>
              </w:rPr>
              <w:t xml:space="preserve">SKILLS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shd w:val="clear" w:color="auto" w:fill="auto"/>
          </w:tcPr>
          <w:p>
            <w:pPr>
              <w:pStyle w:val="22"/>
              <w:numPr>
                <w:ilvl w:val="0"/>
                <w:numId w:val="6"/>
              </w:numPr>
              <w:rPr>
                <w:szCs w:val="22"/>
              </w:rPr>
            </w:pPr>
            <w:r>
              <w:rPr>
                <w:rFonts w:eastAsia="Arial"/>
                <w:sz w:val="20"/>
              </w:rPr>
              <w:t>Excellent writing and editing skills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302" w:type="dxa"/>
            <w:gridSpan w:val="3"/>
            <w:tcBorders>
              <w:bottom w:val="single" w:color="auto" w:sz="4" w:space="0"/>
            </w:tcBorders>
            <w:shd w:val="clear" w:color="auto" w:fill="C0C0C0"/>
            <w:vAlign w:val="center"/>
          </w:tcPr>
          <w:p>
            <w:pPr>
              <w:pStyle w:val="2"/>
            </w:pPr>
            <w:r>
              <w:rPr>
                <w:szCs w:val="22"/>
              </w:rPr>
              <w:t>V. Languages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4010" w:type="dxa"/>
            <w:gridSpan w:val="2"/>
            <w:tcBorders>
              <w:bottom w:val="single" w:color="auto" w:sz="4" w:space="0"/>
            </w:tcBorders>
            <w:shd w:val="clear" w:color="auto" w:fill="E6E6E6"/>
            <w:vAlign w:val="center"/>
          </w:tcPr>
          <w:p>
            <w:pPr>
              <w:spacing w:after="0"/>
              <w:jc w:val="left"/>
              <w:rPr>
                <w:szCs w:val="22"/>
              </w:rPr>
            </w:pPr>
            <w:r>
              <w:rPr>
                <w:szCs w:val="22"/>
              </w:rPr>
              <w:t xml:space="preserve">Required </w:t>
            </w:r>
          </w:p>
          <w:p>
            <w:pPr>
              <w:spacing w:after="0"/>
              <w:jc w:val="left"/>
              <w:rPr>
                <w:i/>
                <w:sz w:val="18"/>
                <w:szCs w:val="18"/>
              </w:rPr>
            </w:pPr>
            <w:r>
              <w:rPr>
                <w:i/>
                <w:sz w:val="18"/>
                <w:szCs w:val="18"/>
              </w:rPr>
              <w:t>(specify the required knowledge)</w:t>
            </w:r>
          </w:p>
        </w:tc>
        <w:tc>
          <w:tcPr>
            <w:tcW w:w="4292" w:type="dxa"/>
            <w:tcBorders>
              <w:bottom w:val="single" w:color="auto" w:sz="4" w:space="0"/>
            </w:tcBorders>
            <w:shd w:val="clear" w:color="auto" w:fill="E6E6E6"/>
            <w:vAlign w:val="center"/>
          </w:tcPr>
          <w:p>
            <w:pPr>
              <w:spacing w:after="0"/>
              <w:jc w:val="left"/>
            </w:pPr>
            <w:r>
              <w:t>Desirable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010" w:type="dxa"/>
            <w:gridSpan w:val="2"/>
            <w:tcBorders>
              <w:bottom w:val="single" w:color="auto" w:sz="4" w:space="0"/>
            </w:tcBorders>
            <w:shd w:val="clear" w:color="auto" w:fill="auto"/>
          </w:tcPr>
          <w:p>
            <w:pPr>
              <w:spacing w:after="0"/>
              <w:rPr>
                <w:szCs w:val="22"/>
              </w:rPr>
            </w:pPr>
            <w:r>
              <w:rPr>
                <w:rFonts w:eastAsia="Arial"/>
                <w:sz w:val="20"/>
              </w:rPr>
              <w:t>Fluency in English and French (oral and written)</w:t>
            </w:r>
          </w:p>
        </w:tc>
        <w:tc>
          <w:tcPr>
            <w:tcW w:w="4292" w:type="dxa"/>
            <w:tcBorders>
              <w:bottom w:val="single" w:color="auto" w:sz="4" w:space="0"/>
            </w:tcBorders>
            <w:shd w:val="clear" w:color="auto" w:fill="auto"/>
          </w:tcPr>
          <w:p>
            <w:pPr>
              <w:spacing w:after="0"/>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BFBFBF"/>
            <w:vAlign w:val="center"/>
          </w:tcPr>
          <w:p>
            <w:pPr>
              <w:pStyle w:val="2"/>
            </w:pPr>
            <w:r>
              <w:t>VI. Competencies</w:t>
            </w:r>
            <w:r>
              <w:rPr>
                <w:rStyle w:val="20"/>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FFFFFF" w:themeFill="background1"/>
          </w:tcPr>
          <w:p>
            <w:pPr>
              <w:rPr>
                <w:szCs w:val="22"/>
              </w:rPr>
            </w:pPr>
            <w:r>
              <w:rPr>
                <w:szCs w:val="22"/>
              </w:rPr>
              <w:t>The successful candidate is expected to demonstrate the following values and competencies:</w:t>
            </w:r>
          </w:p>
          <w:p>
            <w:pPr>
              <w:rPr>
                <w:b/>
                <w:szCs w:val="22"/>
              </w:rPr>
            </w:pPr>
            <w:r>
              <w:rPr>
                <w:b/>
                <w:szCs w:val="22"/>
              </w:rPr>
              <w:t xml:space="preserve">Values - </w:t>
            </w:r>
            <w:r>
              <w:rPr>
                <w:szCs w:val="22"/>
              </w:rPr>
              <w:t>all IOM staff members must abide by and demonstrate these three values:</w:t>
            </w:r>
          </w:p>
          <w:p>
            <w:pPr>
              <w:numPr>
                <w:ilvl w:val="0"/>
                <w:numId w:val="7"/>
              </w:numPr>
              <w:autoSpaceDE/>
              <w:autoSpaceDN/>
              <w:adjustRightInd/>
              <w:spacing w:after="210" w:line="210" w:lineRule="atLeast"/>
              <w:ind w:right="386"/>
              <w:contextualSpacing/>
              <w:rPr>
                <w:color w:val="000000"/>
                <w:szCs w:val="22"/>
              </w:rPr>
            </w:pPr>
            <w:r>
              <w:rPr>
                <w:color w:val="000000"/>
                <w:szCs w:val="22"/>
                <w:u w:val="single"/>
              </w:rPr>
              <w:t>Inclusion and respect for diversity:</w:t>
            </w:r>
            <w:r>
              <w:rPr>
                <w:color w:val="000000"/>
                <w:szCs w:val="22"/>
              </w:rPr>
              <w:t xml:space="preserve"> </w:t>
            </w:r>
            <w:r>
              <w:rPr>
                <w:szCs w:val="22"/>
              </w:rPr>
              <w:t>respects and promotes individual and cultural differences; encourages diversity and inclusion wherever possible.</w:t>
            </w:r>
          </w:p>
          <w:p>
            <w:pPr>
              <w:numPr>
                <w:ilvl w:val="0"/>
                <w:numId w:val="7"/>
              </w:numPr>
              <w:autoSpaceDE/>
              <w:autoSpaceDN/>
              <w:adjustRightInd/>
              <w:spacing w:after="210" w:line="210" w:lineRule="atLeast"/>
              <w:ind w:right="386"/>
              <w:contextualSpacing/>
              <w:rPr>
                <w:color w:val="000000"/>
                <w:szCs w:val="22"/>
              </w:rPr>
            </w:pPr>
            <w:r>
              <w:rPr>
                <w:color w:val="000000"/>
                <w:szCs w:val="22"/>
                <w:u w:val="single"/>
              </w:rPr>
              <w:t>Integrity and transparency:</w:t>
            </w:r>
            <w:r>
              <w:rPr>
                <w:szCs w:val="22"/>
              </w:rPr>
              <w:t xml:space="preserve"> maintains high ethical standards and acts in a manner consistent with organizational principles/rules and standards of conduct.</w:t>
            </w:r>
          </w:p>
          <w:p>
            <w:pPr>
              <w:numPr>
                <w:ilvl w:val="0"/>
                <w:numId w:val="7"/>
              </w:numPr>
              <w:autoSpaceDE/>
              <w:autoSpaceDN/>
              <w:adjustRightInd/>
              <w:spacing w:after="210" w:line="210" w:lineRule="atLeast"/>
              <w:ind w:right="386"/>
              <w:contextualSpacing/>
              <w:rPr>
                <w:color w:val="000000"/>
                <w:szCs w:val="22"/>
              </w:rPr>
            </w:pPr>
            <w:r>
              <w:rPr>
                <w:color w:val="000000"/>
                <w:szCs w:val="22"/>
                <w:u w:val="single"/>
              </w:rPr>
              <w:t>Professionalism:</w:t>
            </w:r>
            <w:r>
              <w:rPr>
                <w:szCs w:val="22"/>
              </w:rPr>
              <w:t xml:space="preserve"> demonstrates ability to work in a composed, competent and committed manner and exercises careful judgment in meeting day-to-day challenges.</w:t>
            </w:r>
          </w:p>
          <w:p>
            <w:pPr>
              <w:rPr>
                <w:b/>
                <w:szCs w:val="22"/>
              </w:rPr>
            </w:pPr>
          </w:p>
          <w:p>
            <w:pPr>
              <w:rPr>
                <w:b/>
                <w:szCs w:val="22"/>
              </w:rPr>
            </w:pPr>
            <w:r>
              <w:rPr>
                <w:b/>
                <w:szCs w:val="22"/>
              </w:rPr>
              <w:t xml:space="preserve">Core Competencies </w:t>
            </w:r>
            <w:r>
              <w:rPr>
                <w:szCs w:val="22"/>
              </w:rPr>
              <w:t xml:space="preserve">– behavioural indicators </w:t>
            </w:r>
            <w:r>
              <w:rPr>
                <w:i/>
                <w:szCs w:val="22"/>
              </w:rPr>
              <w:t>level 3</w:t>
            </w:r>
          </w:p>
          <w:p>
            <w:pPr>
              <w:numPr>
                <w:ilvl w:val="0"/>
                <w:numId w:val="8"/>
              </w:numPr>
              <w:autoSpaceDE/>
              <w:autoSpaceDN/>
              <w:adjustRightInd/>
              <w:spacing w:after="210" w:line="210" w:lineRule="atLeast"/>
              <w:ind w:right="386"/>
              <w:contextualSpacing/>
              <w:rPr>
                <w:color w:val="000000"/>
                <w:szCs w:val="22"/>
                <w:u w:val="single"/>
              </w:rPr>
            </w:pPr>
            <w:r>
              <w:rPr>
                <w:color w:val="000000"/>
                <w:szCs w:val="22"/>
                <w:u w:val="single"/>
              </w:rPr>
              <w:t>Teamwork</w:t>
            </w:r>
            <w:r>
              <w:rPr>
                <w:szCs w:val="22"/>
                <w:u w:val="single"/>
              </w:rPr>
              <w:t>:</w:t>
            </w:r>
            <w:r>
              <w:rPr>
                <w:color w:val="000000"/>
                <w:szCs w:val="22"/>
              </w:rPr>
              <w:t xml:space="preserve"> develops and promotes effective collaboration within and across units to achieve shared goals and optimize results.</w:t>
            </w:r>
          </w:p>
          <w:p>
            <w:pPr>
              <w:numPr>
                <w:ilvl w:val="0"/>
                <w:numId w:val="8"/>
              </w:numPr>
              <w:autoSpaceDE/>
              <w:autoSpaceDN/>
              <w:adjustRightInd/>
              <w:spacing w:after="210" w:line="210" w:lineRule="atLeast"/>
              <w:ind w:right="386"/>
              <w:contextualSpacing/>
              <w:rPr>
                <w:color w:val="000000"/>
                <w:szCs w:val="22"/>
                <w:u w:val="single"/>
              </w:rPr>
            </w:pPr>
            <w:r>
              <w:rPr>
                <w:color w:val="000000"/>
                <w:szCs w:val="22"/>
                <w:u w:val="single"/>
              </w:rPr>
              <w:t>Delivering results</w:t>
            </w:r>
            <w:r>
              <w:rPr>
                <w:szCs w:val="22"/>
                <w:u w:val="single"/>
              </w:rPr>
              <w:t>:</w:t>
            </w:r>
            <w:r>
              <w:rPr>
                <w:color w:val="000000"/>
                <w:szCs w:val="22"/>
              </w:rPr>
              <w:t xml:space="preserve"> </w:t>
            </w:r>
            <w:r>
              <w:rPr>
                <w:szCs w:val="22"/>
              </w:rPr>
              <w:t>p</w:t>
            </w:r>
            <w:r>
              <w:rPr>
                <w:color w:val="000000"/>
                <w:szCs w:val="22"/>
              </w:rPr>
              <w:t>roduces and delivers quality results in a service-oriented and timely manner</w:t>
            </w:r>
            <w:r>
              <w:rPr>
                <w:szCs w:val="22"/>
              </w:rPr>
              <w:t>;</w:t>
            </w:r>
            <w:r>
              <w:rPr>
                <w:color w:val="000000"/>
                <w:szCs w:val="22"/>
              </w:rPr>
              <w:t xml:space="preserve"> </w:t>
            </w:r>
            <w:r>
              <w:rPr>
                <w:szCs w:val="22"/>
              </w:rPr>
              <w:t>i</w:t>
            </w:r>
            <w:r>
              <w:rPr>
                <w:color w:val="000000"/>
                <w:szCs w:val="22"/>
              </w:rPr>
              <w:t>s action oriented and committed to achieving agreed outcomes.</w:t>
            </w:r>
          </w:p>
          <w:p>
            <w:pPr>
              <w:numPr>
                <w:ilvl w:val="0"/>
                <w:numId w:val="8"/>
              </w:numPr>
              <w:autoSpaceDE/>
              <w:autoSpaceDN/>
              <w:adjustRightInd/>
              <w:spacing w:after="210" w:line="210" w:lineRule="atLeast"/>
              <w:ind w:right="386"/>
              <w:contextualSpacing/>
              <w:rPr>
                <w:color w:val="000000"/>
                <w:szCs w:val="22"/>
                <w:u w:val="single"/>
              </w:rPr>
            </w:pPr>
            <w:r>
              <w:rPr>
                <w:color w:val="000000"/>
                <w:szCs w:val="22"/>
                <w:u w:val="single"/>
              </w:rPr>
              <w:t>Managing and sharing knowledge</w:t>
            </w:r>
            <w:r>
              <w:rPr>
                <w:szCs w:val="22"/>
                <w:u w:val="single"/>
              </w:rPr>
              <w:t>:</w:t>
            </w:r>
            <w:r>
              <w:rPr>
                <w:color w:val="000000"/>
                <w:szCs w:val="22"/>
              </w:rPr>
              <w:t xml:space="preserve"> continuously seeks to learn, share knowledge and innovate</w:t>
            </w:r>
            <w:r>
              <w:rPr>
                <w:szCs w:val="22"/>
              </w:rPr>
              <w:t>.</w:t>
            </w:r>
          </w:p>
          <w:p>
            <w:pPr>
              <w:numPr>
                <w:ilvl w:val="0"/>
                <w:numId w:val="8"/>
              </w:numPr>
              <w:autoSpaceDE/>
              <w:autoSpaceDN/>
              <w:adjustRightInd/>
              <w:spacing w:after="210" w:line="210" w:lineRule="atLeast"/>
              <w:ind w:right="386"/>
              <w:contextualSpacing/>
              <w:rPr>
                <w:color w:val="000000"/>
                <w:szCs w:val="22"/>
                <w:u w:val="single"/>
              </w:rPr>
            </w:pPr>
            <w:r>
              <w:rPr>
                <w:color w:val="000000"/>
                <w:szCs w:val="22"/>
                <w:u w:val="single"/>
              </w:rPr>
              <w:t>Accountability</w:t>
            </w:r>
            <w:r>
              <w:rPr>
                <w:szCs w:val="22"/>
                <w:u w:val="single"/>
              </w:rPr>
              <w:t>:</w:t>
            </w:r>
            <w:r>
              <w:rPr>
                <w:szCs w:val="22"/>
              </w:rPr>
              <w:t xml:space="preserve"> </w:t>
            </w:r>
            <w:r>
              <w:rPr>
                <w:color w:val="000000"/>
                <w:szCs w:val="22"/>
              </w:rPr>
              <w:t>takes ownership for achieving the Organization’s priorities and assumes responsibility for own action and delegated work.</w:t>
            </w:r>
          </w:p>
          <w:p>
            <w:pPr>
              <w:numPr>
                <w:ilvl w:val="0"/>
                <w:numId w:val="8"/>
              </w:numPr>
              <w:autoSpaceDE/>
              <w:autoSpaceDN/>
              <w:adjustRightInd/>
              <w:spacing w:after="210" w:line="210" w:lineRule="atLeast"/>
              <w:ind w:right="386"/>
              <w:contextualSpacing/>
              <w:rPr>
                <w:color w:val="000000"/>
                <w:szCs w:val="22"/>
                <w:u w:val="single"/>
              </w:rPr>
            </w:pPr>
            <w:r>
              <w:rPr>
                <w:color w:val="000000"/>
                <w:szCs w:val="22"/>
                <w:u w:val="single"/>
              </w:rPr>
              <w:t>Communication:</w:t>
            </w:r>
            <w:r>
              <w:rPr>
                <w:color w:val="000000"/>
                <w:szCs w:val="22"/>
              </w:rPr>
              <w:t xml:space="preserve"> encourages and contributes to clear and open communication; explains complex matters in an informative, inspiring and motivational way.</w:t>
            </w:r>
          </w:p>
          <w:p>
            <w:pPr>
              <w:contextualSpacing/>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BFBFBF"/>
          </w:tcPr>
          <w:p>
            <w:pPr>
              <w:rPr>
                <w:b/>
                <w:smallCaps/>
              </w:rPr>
            </w:pPr>
            <w:r>
              <w:rPr>
                <w:b/>
                <w:smallCaps/>
              </w:rPr>
              <w:t>Notes</w:t>
            </w:r>
            <w:r>
              <w:rPr>
                <w:rStyle w:val="20"/>
                <w:b/>
                <w:szCs w:val="22"/>
              </w:rPr>
              <w:footnoteReference w:id="1"/>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FFFFFF" w:themeFill="background1"/>
          </w:tcPr>
          <w:p>
            <w:pPr>
              <w:spacing w:after="0"/>
              <w:rPr>
                <w:b/>
                <w:szCs w:val="22"/>
                <w:u w:val="single"/>
              </w:rPr>
            </w:pPr>
            <w:r>
              <w:rPr>
                <w:b/>
                <w:szCs w:val="22"/>
                <w:u w:val="single"/>
              </w:rPr>
              <w:t>Eligibility and Selection</w:t>
            </w:r>
          </w:p>
          <w:p>
            <w:pPr>
              <w:spacing w:after="0"/>
              <w:rPr>
                <w:szCs w:val="22"/>
              </w:rPr>
            </w:pPr>
          </w:p>
          <w:p>
            <w:pPr>
              <w:spacing w:after="0"/>
              <w:rPr>
                <w:szCs w:val="22"/>
              </w:rPr>
            </w:pPr>
            <w:r>
              <w:rPr>
                <w:szCs w:val="22"/>
              </w:rPr>
              <w:t>In general, the Internship Programme aims at attracting talented students and graduates who:</w:t>
            </w:r>
          </w:p>
          <w:p>
            <w:pPr>
              <w:spacing w:after="0"/>
              <w:rPr>
                <w:szCs w:val="22"/>
              </w:rPr>
            </w:pPr>
          </w:p>
          <w:p>
            <w:pPr>
              <w:spacing w:after="0"/>
              <w:rPr>
                <w:szCs w:val="22"/>
              </w:rPr>
            </w:pPr>
            <w:r>
              <w:rPr>
                <w:szCs w:val="22"/>
              </w:rPr>
              <w:t>a) have a specific interest in, or whose studies have covered, areas relevant to IOM</w:t>
            </w:r>
          </w:p>
          <w:p>
            <w:pPr>
              <w:spacing w:after="0"/>
              <w:rPr>
                <w:szCs w:val="22"/>
              </w:rPr>
            </w:pPr>
            <w:r>
              <w:rPr>
                <w:szCs w:val="22"/>
              </w:rPr>
              <w:t>programmes and activities;</w:t>
            </w:r>
          </w:p>
          <w:p>
            <w:pPr>
              <w:spacing w:after="0"/>
              <w:rPr>
                <w:szCs w:val="22"/>
              </w:rPr>
            </w:pPr>
          </w:p>
          <w:p>
            <w:pPr>
              <w:spacing w:after="0"/>
              <w:rPr>
                <w:szCs w:val="22"/>
              </w:rPr>
            </w:pPr>
            <w:r>
              <w:rPr>
                <w:szCs w:val="22"/>
              </w:rPr>
              <w:t>b) are holding a scholarship for internship placements in international organizations</w:t>
            </w:r>
          </w:p>
          <w:p>
            <w:pPr>
              <w:spacing w:after="0"/>
              <w:rPr>
                <w:szCs w:val="22"/>
              </w:rPr>
            </w:pPr>
            <w:r>
              <w:rPr>
                <w:szCs w:val="22"/>
              </w:rPr>
              <w:t>and/or for whom internship is required to complete their studies; or</w:t>
            </w:r>
          </w:p>
          <w:p>
            <w:pPr>
              <w:spacing w:after="0"/>
              <w:rPr>
                <w:szCs w:val="22"/>
              </w:rPr>
            </w:pPr>
          </w:p>
          <w:p>
            <w:pPr>
              <w:spacing w:after="0"/>
              <w:rPr>
                <w:szCs w:val="22"/>
              </w:rPr>
            </w:pPr>
            <w:r>
              <w:rPr>
                <w:szCs w:val="22"/>
              </w:rPr>
              <w:t>c) are sponsored by governmental/non-governmental institutions and/or academia to work in specific areas relevant to both IOM and the sponsor.</w:t>
            </w:r>
          </w:p>
          <w:p>
            <w:pPr>
              <w:spacing w:after="0"/>
              <w:rPr>
                <w:szCs w:val="22"/>
              </w:rPr>
            </w:pPr>
          </w:p>
          <w:p>
            <w:pPr>
              <w:spacing w:after="0"/>
              <w:rPr>
                <w:szCs w:val="22"/>
              </w:rPr>
            </w:pPr>
            <w:r>
              <w:rPr>
                <w:szCs w:val="22"/>
              </w:rPr>
              <w:t>d) are either students approaching the end of their studies and preparing a thesis, or recently graduated, who have less than two years of relevant working experience.</w:t>
            </w:r>
          </w:p>
          <w:p>
            <w:pPr>
              <w:spacing w:after="0"/>
              <w:rPr>
                <w:szCs w:val="22"/>
              </w:rPr>
            </w:pPr>
          </w:p>
          <w:p>
            <w:pPr>
              <w:spacing w:after="0"/>
              <w:rPr>
                <w:szCs w:val="22"/>
              </w:rPr>
            </w:pPr>
          </w:p>
          <w:p>
            <w:pPr>
              <w:pStyle w:val="22"/>
              <w:numPr>
                <w:ilvl w:val="0"/>
                <w:numId w:val="9"/>
              </w:numPr>
              <w:spacing w:before="0" w:after="0" w:line="210" w:lineRule="atLeast"/>
              <w:ind w:right="386"/>
              <w:contextualSpacing/>
              <w:rPr>
                <w:szCs w:val="22"/>
              </w:rPr>
            </w:pPr>
            <w:r>
              <w:rPr>
                <w:szCs w:val="22"/>
              </w:rPr>
              <w:t>Only shortlisted candidates will be contacted, and additional enquiries will only be addressed if the candidate is shortlisted.</w:t>
            </w:r>
          </w:p>
          <w:p>
            <w:pPr>
              <w:pStyle w:val="22"/>
              <w:numPr>
                <w:ilvl w:val="0"/>
                <w:numId w:val="9"/>
              </w:numPr>
              <w:spacing w:before="0" w:after="0" w:line="210" w:lineRule="atLeast"/>
              <w:ind w:right="386"/>
              <w:contextualSpacing/>
              <w:rPr>
                <w:szCs w:val="22"/>
              </w:rPr>
            </w:pPr>
            <w:r>
              <w:rPr>
                <w:szCs w:val="22"/>
              </w:rPr>
              <w:t>Please consider the cost of living in Ulaanbaatar prior to applying.</w:t>
            </w:r>
          </w:p>
          <w:p>
            <w:pPr>
              <w:spacing w:after="0"/>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auto"/>
          </w:tcPr>
          <w:p>
            <w:pPr>
              <w:spacing w:after="0"/>
              <w:rPr>
                <w:szCs w:val="22"/>
              </w:rPr>
            </w:pPr>
            <w:r>
              <w:rPr>
                <w:szCs w:val="22"/>
              </w:rPr>
              <w:t>The appointment is subject to funding confirmation.</w:t>
            </w:r>
          </w:p>
          <w:p>
            <w:pPr>
              <w:spacing w:after="0"/>
              <w:rPr>
                <w:szCs w:val="22"/>
              </w:rPr>
            </w:pPr>
          </w:p>
          <w:p>
            <w:pPr>
              <w:spacing w:after="0"/>
              <w:rPr>
                <w:szCs w:val="22"/>
                <w:lang w:val="en"/>
              </w:rPr>
            </w:pPr>
            <w:r>
              <w:rPr>
                <w:szCs w:val="22"/>
              </w:rPr>
              <w:t>Appointment will be subject to certification that the candidate is medically fit for appointment, any residency or visa requirements, and security clearances</w:t>
            </w:r>
            <w:r>
              <w:rPr>
                <w:szCs w:val="22"/>
                <w:lang w:val="en"/>
              </w:rPr>
              <w:t>.</w:t>
            </w:r>
          </w:p>
          <w:p>
            <w:pPr>
              <w:spacing w:after="0"/>
              <w:rPr>
                <w:szCs w:val="22"/>
                <w:lang w:val="en"/>
              </w:rPr>
            </w:pPr>
          </w:p>
          <w:p>
            <w:pPr>
              <w:spacing w:after="0"/>
              <w:rPr>
                <w:szCs w:val="22"/>
              </w:rPr>
            </w:pPr>
            <w:r>
              <w:rPr>
                <w:szCs w:val="22"/>
                <w:lang w:val="en"/>
              </w:rPr>
              <w:t>No late applications will be accepted.</w:t>
            </w:r>
          </w:p>
        </w:tc>
      </w:tr>
    </w:tbl>
    <w:p/>
    <w:sectPr>
      <w:headerReference r:id="rId6" w:type="first"/>
      <w:footerReference r:id="rId9" w:type="first"/>
      <w:headerReference r:id="rId4" w:type="default"/>
      <w:footerReference r:id="rId7" w:type="default"/>
      <w:headerReference r:id="rId5" w:type="even"/>
      <w:footerReference r:id="rId8" w:type="even"/>
      <w:pgSz w:w="11906" w:h="16838"/>
      <w:pgMar w:top="1304" w:right="1797" w:bottom="1304" w:left="1797"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MS Gothic">
    <w:panose1 w:val="020B0609070205080204"/>
    <w:charset w:val="80"/>
    <w:family w:val="auto"/>
    <w:pitch w:val="default"/>
    <w:sig w:usb0="E00002FF" w:usb1="6AC7FDFB" w:usb2="00000012" w:usb3="00000000" w:csb0="4002009F" w:csb1="DFD7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rStyle w:val="18"/>
        <w:bCs/>
        <w:sz w:val="16"/>
        <w:szCs w:val="16"/>
      </w:rPr>
      <w:fldChar w:fldCharType="begin"/>
    </w:r>
    <w:r>
      <w:rPr>
        <w:rStyle w:val="18"/>
        <w:bCs/>
        <w:sz w:val="16"/>
        <w:szCs w:val="16"/>
      </w:rPr>
      <w:instrText xml:space="preserve"> PAGE </w:instrText>
    </w:r>
    <w:r>
      <w:rPr>
        <w:rStyle w:val="18"/>
        <w:bCs/>
        <w:sz w:val="16"/>
        <w:szCs w:val="16"/>
      </w:rPr>
      <w:fldChar w:fldCharType="separate"/>
    </w:r>
    <w:r>
      <w:rPr>
        <w:rStyle w:val="18"/>
        <w:bCs/>
        <w:sz w:val="16"/>
        <w:szCs w:val="16"/>
      </w:rPr>
      <w:t>1</w:t>
    </w:r>
    <w:r>
      <w:rPr>
        <w:rStyle w:val="18"/>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before="0" w:after="0"/>
      </w:pPr>
      <w:r>
        <w:separator/>
      </w:r>
    </w:p>
  </w:footnote>
  <w:footnote w:type="continuationSeparator" w:id="5">
    <w:p>
      <w:pPr>
        <w:spacing w:before="0" w:after="0"/>
      </w:pPr>
      <w:r>
        <w:continuationSeparator/>
      </w:r>
    </w:p>
  </w:footnote>
  <w:footnote w:id="0">
    <w:p>
      <w:pPr>
        <w:pStyle w:val="11"/>
        <w:rPr>
          <w:sz w:val="16"/>
          <w:szCs w:val="16"/>
          <w:lang w:val="en-US"/>
        </w:rPr>
      </w:pPr>
      <w:r>
        <w:rPr>
          <w:rStyle w:val="20"/>
          <w:sz w:val="16"/>
          <w:szCs w:val="16"/>
        </w:rPr>
        <w:footnoteRef/>
      </w:r>
      <w:r>
        <w:rPr>
          <w:sz w:val="16"/>
          <w:szCs w:val="16"/>
        </w:rPr>
        <w:t xml:space="preserve"> </w:t>
      </w:r>
      <w:r>
        <w:rPr>
          <w:sz w:val="16"/>
          <w:szCs w:val="16"/>
          <w:lang w:val="en-US"/>
        </w:rPr>
        <w:t xml:space="preserve">Competencies and respective levels should be drawn from the Competency Framework of the Organization. </w:t>
      </w:r>
    </w:p>
  </w:footnote>
  <w:footnote w:id="1">
    <w:p>
      <w:pPr>
        <w:rPr>
          <w:sz w:val="16"/>
          <w:szCs w:val="16"/>
        </w:rPr>
      </w:pPr>
      <w:r>
        <w:rPr>
          <w:rStyle w:val="20"/>
          <w:sz w:val="16"/>
          <w:szCs w:val="16"/>
        </w:rPr>
        <w:footnoteRef/>
      </w:r>
      <w:r>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pPr>
        <w:pStyle w:val="1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1D6EA0"/>
    <w:multiLevelType w:val="multilevel"/>
    <w:tmpl w:val="011D6EA0"/>
    <w:lvl w:ilvl="0" w:tentative="0">
      <w:start w:val="1"/>
      <w:numFmt w:val="bullet"/>
      <w:lvlText w:val=""/>
      <w:lvlJc w:val="left"/>
      <w:pPr>
        <w:ind w:left="720" w:hanging="360"/>
      </w:pPr>
      <w:rPr>
        <w:rFonts w:hint="default" w:ascii="Symbol" w:hAnsi="Symbol"/>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8A52A35"/>
    <w:multiLevelType w:val="multilevel"/>
    <w:tmpl w:val="18A52A35"/>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421D2701"/>
    <w:multiLevelType w:val="multilevel"/>
    <w:tmpl w:val="421D270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4A9871E2"/>
    <w:multiLevelType w:val="multilevel"/>
    <w:tmpl w:val="4A9871E2"/>
    <w:lvl w:ilvl="0" w:tentative="0">
      <w:start w:val="1"/>
      <w:numFmt w:val="decimal"/>
      <w:pStyle w:val="22"/>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5288038D"/>
    <w:multiLevelType w:val="multilevel"/>
    <w:tmpl w:val="5288038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584E7B5D"/>
    <w:multiLevelType w:val="multilevel"/>
    <w:tmpl w:val="584E7B5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60ED1C6B"/>
    <w:multiLevelType w:val="multilevel"/>
    <w:tmpl w:val="60ED1C6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73AE1FEF"/>
    <w:multiLevelType w:val="multilevel"/>
    <w:tmpl w:val="73AE1FE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7A706FCD"/>
    <w:multiLevelType w:val="multilevel"/>
    <w:tmpl w:val="7A706FC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3"/>
  </w:num>
  <w:num w:numId="2">
    <w:abstractNumId w:val="1"/>
  </w:num>
  <w:num w:numId="3">
    <w:abstractNumId w:val="0"/>
  </w:num>
  <w:num w:numId="4">
    <w:abstractNumId w:val="8"/>
  </w:num>
  <w:num w:numId="5">
    <w:abstractNumId w:val="2"/>
  </w:num>
  <w:num w:numId="6">
    <w:abstractNumId w:val="6"/>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283"/>
  <w:characterSpacingControl w:val="doNotCompress"/>
  <w:footnotePr>
    <w:footnote w:id="4"/>
    <w:footnote w:id="5"/>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1E18"/>
    <w:rsid w:val="000B7E92"/>
    <w:rsid w:val="000C11A6"/>
    <w:rsid w:val="000C2BB2"/>
    <w:rsid w:val="000C40D0"/>
    <w:rsid w:val="000C5338"/>
    <w:rsid w:val="000C6F51"/>
    <w:rsid w:val="000D2A48"/>
    <w:rsid w:val="000D2F5C"/>
    <w:rsid w:val="000D6B16"/>
    <w:rsid w:val="000E03BB"/>
    <w:rsid w:val="000E10E5"/>
    <w:rsid w:val="000E212F"/>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DEA"/>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936"/>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2018"/>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4A1A"/>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3C7C"/>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40C1"/>
    <w:rsid w:val="00455889"/>
    <w:rsid w:val="00455E8C"/>
    <w:rsid w:val="00456CF0"/>
    <w:rsid w:val="00460970"/>
    <w:rsid w:val="00463602"/>
    <w:rsid w:val="0047219B"/>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661D"/>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0DF2"/>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76F73"/>
    <w:rsid w:val="005803FB"/>
    <w:rsid w:val="00581710"/>
    <w:rsid w:val="00586C9C"/>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A71A8"/>
    <w:rsid w:val="006A7F2C"/>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72C"/>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61D3"/>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08DB"/>
    <w:rsid w:val="007F32F9"/>
    <w:rsid w:val="007F5638"/>
    <w:rsid w:val="007F61F0"/>
    <w:rsid w:val="00801551"/>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D6B5B"/>
    <w:rsid w:val="008D746A"/>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352B"/>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0B98"/>
    <w:rsid w:val="009514F6"/>
    <w:rsid w:val="00951511"/>
    <w:rsid w:val="0095260D"/>
    <w:rsid w:val="00954DA3"/>
    <w:rsid w:val="00955A2B"/>
    <w:rsid w:val="0095645C"/>
    <w:rsid w:val="009570B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533E"/>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066ED"/>
    <w:rsid w:val="00B07A40"/>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668E0"/>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1DEF"/>
    <w:rsid w:val="00BC5699"/>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C3D"/>
    <w:rsid w:val="00C36EA3"/>
    <w:rsid w:val="00C37454"/>
    <w:rsid w:val="00C37782"/>
    <w:rsid w:val="00C3786D"/>
    <w:rsid w:val="00C426A2"/>
    <w:rsid w:val="00C44983"/>
    <w:rsid w:val="00C50118"/>
    <w:rsid w:val="00C505A7"/>
    <w:rsid w:val="00C525F2"/>
    <w:rsid w:val="00C52B95"/>
    <w:rsid w:val="00C5544D"/>
    <w:rsid w:val="00C56471"/>
    <w:rsid w:val="00C5656B"/>
    <w:rsid w:val="00C56586"/>
    <w:rsid w:val="00C56646"/>
    <w:rsid w:val="00C6074E"/>
    <w:rsid w:val="00C60FF1"/>
    <w:rsid w:val="00C65399"/>
    <w:rsid w:val="00C658A6"/>
    <w:rsid w:val="00C66D09"/>
    <w:rsid w:val="00C72FF8"/>
    <w:rsid w:val="00C73112"/>
    <w:rsid w:val="00C74B2A"/>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4A96"/>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2A1"/>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444C8"/>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5845"/>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0F56"/>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 w:val="4397407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utoSpaceDE w:val="0"/>
      <w:autoSpaceDN w:val="0"/>
      <w:adjustRightInd w:val="0"/>
      <w:spacing w:after="240"/>
      <w:jc w:val="both"/>
    </w:pPr>
    <w:rPr>
      <w:rFonts w:ascii="Arial" w:hAnsi="Arial" w:eastAsia="宋体" w:cs="Arial"/>
      <w:sz w:val="22"/>
      <w:lang w:val="en-GB" w:eastAsia="en-GB" w:bidi="ar-SA"/>
    </w:rPr>
  </w:style>
  <w:style w:type="paragraph" w:styleId="2">
    <w:name w:val="heading 1"/>
    <w:basedOn w:val="1"/>
    <w:next w:val="1"/>
    <w:link w:val="24"/>
    <w:qFormat/>
    <w:uiPriority w:val="0"/>
    <w:pPr>
      <w:spacing w:after="0"/>
      <w:outlineLvl w:val="0"/>
    </w:pPr>
    <w:rPr>
      <w:b/>
      <w:smallCaps/>
    </w:rPr>
  </w:style>
  <w:style w:type="paragraph" w:styleId="3">
    <w:name w:val="heading 3"/>
    <w:basedOn w:val="1"/>
    <w:next w:val="1"/>
    <w:link w:val="33"/>
    <w:semiHidden/>
    <w:unhideWhenUsed/>
    <w:qFormat/>
    <w:uiPriority w:val="0"/>
    <w:pPr>
      <w:keepNext/>
      <w:keepLines/>
      <w:spacing w:before="40" w:after="0"/>
      <w:outlineLvl w:val="2"/>
    </w:pPr>
    <w:rPr>
      <w:rFonts w:asciiTheme="majorHAnsi" w:hAnsiTheme="majorHAnsi" w:eastAsiaTheme="majorEastAsia" w:cstheme="majorBidi"/>
      <w:color w:val="254061" w:themeColor="accent1" w:themeShade="80"/>
      <w:sz w:val="24"/>
      <w:szCs w:val="2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0"/>
    <w:semiHidden/>
    <w:qFormat/>
    <w:uiPriority w:val="0"/>
  </w:style>
  <w:style w:type="paragraph" w:styleId="5">
    <w:name w:val="Body Text"/>
    <w:basedOn w:val="1"/>
    <w:link w:val="32"/>
    <w:qFormat/>
    <w:uiPriority w:val="1"/>
    <w:pPr>
      <w:widowControl w:val="0"/>
      <w:autoSpaceDE/>
      <w:autoSpaceDN/>
      <w:adjustRightInd/>
      <w:spacing w:after="0"/>
      <w:ind w:left="521"/>
      <w:jc w:val="left"/>
    </w:pPr>
    <w:rPr>
      <w:rFonts w:ascii="Cambria" w:hAnsi="Cambria" w:eastAsia="Cambria" w:cstheme="minorBidi"/>
      <w:szCs w:val="22"/>
      <w:lang w:val="en-US" w:eastAsia="en-US"/>
    </w:rPr>
  </w:style>
  <w:style w:type="paragraph" w:styleId="6">
    <w:name w:val="Plain Text"/>
    <w:basedOn w:val="1"/>
    <w:link w:val="28"/>
    <w:unhideWhenUsed/>
    <w:qFormat/>
    <w:uiPriority w:val="0"/>
    <w:pPr>
      <w:autoSpaceDE/>
      <w:autoSpaceDN/>
      <w:adjustRightInd/>
      <w:spacing w:after="0"/>
      <w:jc w:val="left"/>
    </w:pPr>
    <w:rPr>
      <w:rFonts w:ascii="Calibri" w:hAnsi="Calibri" w:eastAsia="Calibri" w:cs="Times New Roman"/>
      <w:szCs w:val="21"/>
      <w:lang w:val="en-US" w:eastAsia="en-US"/>
    </w:rPr>
  </w:style>
  <w:style w:type="paragraph" w:styleId="7">
    <w:name w:val="Balloon Text"/>
    <w:basedOn w:val="1"/>
    <w:semiHidden/>
    <w:qFormat/>
    <w:uiPriority w:val="0"/>
    <w:rPr>
      <w:rFonts w:ascii="Tahoma" w:hAnsi="Tahoma" w:cs="Tahoma"/>
      <w:sz w:val="16"/>
      <w:szCs w:val="16"/>
    </w:rPr>
  </w:style>
  <w:style w:type="paragraph" w:styleId="8">
    <w:name w:val="footer"/>
    <w:basedOn w:val="1"/>
    <w:qFormat/>
    <w:uiPriority w:val="0"/>
    <w:pPr>
      <w:tabs>
        <w:tab w:val="center" w:pos="4153"/>
        <w:tab w:val="right" w:pos="8306"/>
      </w:tabs>
    </w:pPr>
  </w:style>
  <w:style w:type="paragraph" w:styleId="9">
    <w:name w:val="header"/>
    <w:basedOn w:val="1"/>
    <w:qFormat/>
    <w:uiPriority w:val="0"/>
    <w:pPr>
      <w:tabs>
        <w:tab w:val="center" w:pos="4153"/>
        <w:tab w:val="right" w:pos="8306"/>
      </w:tabs>
    </w:pPr>
  </w:style>
  <w:style w:type="paragraph" w:styleId="10">
    <w:name w:val="Subtitle"/>
    <w:basedOn w:val="1"/>
    <w:next w:val="1"/>
    <w:link w:val="25"/>
    <w:qFormat/>
    <w:uiPriority w:val="0"/>
  </w:style>
  <w:style w:type="paragraph" w:styleId="11">
    <w:name w:val="footnote text"/>
    <w:basedOn w:val="1"/>
    <w:link w:val="27"/>
    <w:qFormat/>
    <w:uiPriority w:val="0"/>
    <w:pPr>
      <w:spacing w:after="0"/>
    </w:pPr>
  </w:style>
  <w:style w:type="paragraph" w:styleId="12">
    <w:name w:val="Normal (Web)"/>
    <w:basedOn w:val="1"/>
    <w:qFormat/>
    <w:uiPriority w:val="99"/>
    <w:pPr>
      <w:spacing w:after="190" w:line="190" w:lineRule="atLeast"/>
    </w:pPr>
    <w:rPr>
      <w:sz w:val="15"/>
      <w:szCs w:val="15"/>
      <w:lang w:eastAsia="ko-KR"/>
    </w:rPr>
  </w:style>
  <w:style w:type="paragraph" w:styleId="13">
    <w:name w:val="Title"/>
    <w:basedOn w:val="10"/>
    <w:next w:val="1"/>
    <w:link w:val="26"/>
    <w:qFormat/>
    <w:uiPriority w:val="0"/>
    <w:pPr>
      <w:spacing w:after="0"/>
      <w:contextualSpacing/>
    </w:pPr>
  </w:style>
  <w:style w:type="paragraph" w:styleId="14">
    <w:name w:val="annotation subject"/>
    <w:basedOn w:val="4"/>
    <w:next w:val="4"/>
    <w:semiHidden/>
    <w:qFormat/>
    <w:uiPriority w:val="0"/>
    <w:rPr>
      <w:b/>
      <w:bCs/>
    </w:rPr>
  </w:style>
  <w:style w:type="table" w:styleId="16">
    <w:name w:val="Table Grid"/>
    <w:basedOn w:val="1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annotation reference"/>
    <w:semiHidden/>
    <w:qFormat/>
    <w:uiPriority w:val="0"/>
    <w:rPr>
      <w:sz w:val="16"/>
      <w:szCs w:val="16"/>
    </w:rPr>
  </w:style>
  <w:style w:type="character" w:styleId="20">
    <w:name w:val="footnote reference"/>
    <w:basedOn w:val="17"/>
    <w:qFormat/>
    <w:uiPriority w:val="0"/>
    <w:rPr>
      <w:vertAlign w:val="superscript"/>
    </w:rPr>
  </w:style>
  <w:style w:type="character" w:customStyle="1" w:styleId="21">
    <w:name w:val="Subtle Emphasis"/>
    <w:qFormat/>
    <w:uiPriority w:val="19"/>
    <w:rPr>
      <w:i/>
      <w:iCs/>
      <w:color w:val="808080"/>
    </w:rPr>
  </w:style>
  <w:style w:type="paragraph" w:styleId="22">
    <w:name w:val="List Paragraph"/>
    <w:basedOn w:val="1"/>
    <w:qFormat/>
    <w:uiPriority w:val="72"/>
    <w:pPr>
      <w:numPr>
        <w:ilvl w:val="0"/>
        <w:numId w:val="1"/>
      </w:numPr>
      <w:autoSpaceDE/>
      <w:autoSpaceDN/>
      <w:adjustRightInd/>
      <w:spacing w:before="240"/>
      <w:ind w:right="389"/>
    </w:pPr>
    <w:rPr>
      <w:color w:val="000000"/>
      <w:lang w:val="en-US" w:eastAsia="en-US"/>
    </w:rPr>
  </w:style>
  <w:style w:type="paragraph" w:styleId="23">
    <w:name w:val="No Spacing"/>
    <w:qFormat/>
    <w:uiPriority w:val="1"/>
    <w:rPr>
      <w:rFonts w:ascii="Times New Roman" w:hAnsi="Times New Roman" w:eastAsia="宋体" w:cs="Times New Roman"/>
      <w:sz w:val="24"/>
      <w:szCs w:val="24"/>
      <w:lang w:val="en-GB" w:eastAsia="en-GB" w:bidi="ar-SA"/>
    </w:rPr>
  </w:style>
  <w:style w:type="character" w:customStyle="1" w:styleId="24">
    <w:name w:val="标题 1 字符"/>
    <w:basedOn w:val="17"/>
    <w:link w:val="2"/>
    <w:qFormat/>
    <w:uiPriority w:val="0"/>
    <w:rPr>
      <w:rFonts w:ascii="Arial" w:hAnsi="Arial" w:cs="Arial"/>
      <w:b/>
      <w:smallCaps/>
      <w:lang w:val="en-GB" w:eastAsia="en-GB"/>
    </w:rPr>
  </w:style>
  <w:style w:type="character" w:customStyle="1" w:styleId="25">
    <w:name w:val="副标题 字符"/>
    <w:basedOn w:val="17"/>
    <w:link w:val="10"/>
    <w:qFormat/>
    <w:uiPriority w:val="0"/>
    <w:rPr>
      <w:rFonts w:ascii="Arial" w:hAnsi="Arial" w:cs="Arial"/>
      <w:lang w:val="en-GB" w:eastAsia="en-GB"/>
    </w:rPr>
  </w:style>
  <w:style w:type="character" w:customStyle="1" w:styleId="26">
    <w:name w:val="标题 字符"/>
    <w:basedOn w:val="17"/>
    <w:link w:val="13"/>
    <w:qFormat/>
    <w:uiPriority w:val="0"/>
    <w:rPr>
      <w:rFonts w:ascii="Arial" w:hAnsi="Arial" w:cs="Arial"/>
      <w:lang w:val="en-GB" w:eastAsia="en-GB"/>
    </w:rPr>
  </w:style>
  <w:style w:type="character" w:customStyle="1" w:styleId="27">
    <w:name w:val="脚注文本 字符"/>
    <w:basedOn w:val="17"/>
    <w:link w:val="11"/>
    <w:qFormat/>
    <w:uiPriority w:val="0"/>
    <w:rPr>
      <w:rFonts w:ascii="Arial" w:hAnsi="Arial" w:cs="Arial"/>
      <w:lang w:val="en-GB" w:eastAsia="en-GB"/>
    </w:rPr>
  </w:style>
  <w:style w:type="character" w:customStyle="1" w:styleId="28">
    <w:name w:val="纯文本 字符"/>
    <w:basedOn w:val="17"/>
    <w:link w:val="6"/>
    <w:qFormat/>
    <w:uiPriority w:val="0"/>
    <w:rPr>
      <w:rFonts w:ascii="Calibri" w:hAnsi="Calibri" w:eastAsia="Calibri"/>
      <w:sz w:val="22"/>
      <w:szCs w:val="21"/>
    </w:rPr>
  </w:style>
  <w:style w:type="paragraph" w:customStyle="1" w:styleId="29">
    <w:name w:val="Revision"/>
    <w:hidden/>
    <w:semiHidden/>
    <w:qFormat/>
    <w:uiPriority w:val="99"/>
    <w:rPr>
      <w:rFonts w:ascii="Arial" w:hAnsi="Arial" w:eastAsia="宋体" w:cs="Arial"/>
      <w:lang w:val="en-GB" w:eastAsia="en-GB" w:bidi="ar-SA"/>
    </w:rPr>
  </w:style>
  <w:style w:type="character" w:customStyle="1" w:styleId="30">
    <w:name w:val="批注文字 字符"/>
    <w:basedOn w:val="17"/>
    <w:link w:val="4"/>
    <w:semiHidden/>
    <w:qFormat/>
    <w:uiPriority w:val="0"/>
    <w:rPr>
      <w:rFonts w:ascii="Arial" w:hAnsi="Arial" w:cs="Arial"/>
      <w:lang w:val="en-GB" w:eastAsia="en-GB"/>
    </w:rPr>
  </w:style>
  <w:style w:type="paragraph" w:customStyle="1" w:styleId="31">
    <w:name w:val="Default"/>
    <w:qFormat/>
    <w:uiPriority w:val="0"/>
    <w:pPr>
      <w:autoSpaceDE w:val="0"/>
      <w:autoSpaceDN w:val="0"/>
      <w:adjustRightInd w:val="0"/>
    </w:pPr>
    <w:rPr>
      <w:rFonts w:ascii="Arial" w:hAnsi="Arial" w:eastAsia="宋体" w:cs="Arial"/>
      <w:color w:val="000000"/>
      <w:sz w:val="24"/>
      <w:szCs w:val="24"/>
      <w:lang w:val="en-US" w:eastAsia="en-US" w:bidi="ar-SA"/>
    </w:rPr>
  </w:style>
  <w:style w:type="character" w:customStyle="1" w:styleId="32">
    <w:name w:val="正文文本 字符"/>
    <w:basedOn w:val="17"/>
    <w:link w:val="5"/>
    <w:qFormat/>
    <w:uiPriority w:val="1"/>
    <w:rPr>
      <w:rFonts w:ascii="Cambria" w:hAnsi="Cambria" w:eastAsia="Cambria" w:cstheme="minorBidi"/>
      <w:sz w:val="22"/>
      <w:szCs w:val="22"/>
    </w:rPr>
  </w:style>
  <w:style w:type="character" w:customStyle="1" w:styleId="33">
    <w:name w:val="标题 3 字符"/>
    <w:basedOn w:val="17"/>
    <w:link w:val="3"/>
    <w:semiHidden/>
    <w:qFormat/>
    <w:uiPriority w:val="0"/>
    <w:rPr>
      <w:rFonts w:asciiTheme="majorHAnsi" w:hAnsiTheme="majorHAnsi" w:eastAsiaTheme="majorEastAsia" w:cstheme="majorBidi"/>
      <w:color w:val="254061" w:themeColor="accent1" w:themeShade="80"/>
      <w:sz w:val="24"/>
      <w:szCs w:val="24"/>
      <w:lang w:val="en-GB" w:eastAsia="en-GB"/>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4.xml"/><Relationship Id="rId15" Type="http://schemas.openxmlformats.org/officeDocument/2006/relationships/customXml" Target="../customXml/item3.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ABADFEAB45FB409AA0A4C486B643FE" ma:contentTypeVersion="13" ma:contentTypeDescription="Create a new document." ma:contentTypeScope="" ma:versionID="dc69a672300dfbfde374d4eb28aeb578">
  <xsd:schema xmlns:xsd="http://www.w3.org/2001/XMLSchema" xmlns:xs="http://www.w3.org/2001/XMLSchema" xmlns:p="http://schemas.microsoft.com/office/2006/metadata/properties" xmlns:ns2="4bff4ff0-fb6a-4ddb-8cc0-0bc0bfa21113" xmlns:ns3="3c6068b8-72af-4ad3-a7b1-ed1fb59c0455" targetNamespace="http://schemas.microsoft.com/office/2006/metadata/properties" ma:root="true" ma:fieldsID="e1a66fa5fd2471ac18ce368f8597994f" ns2:_="" ns3:_="">
    <xsd:import namespace="4bff4ff0-fb6a-4ddb-8cc0-0bc0bfa21113"/>
    <xsd:import namespace="3c6068b8-72af-4ad3-a7b1-ed1fb59c045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ff4ff0-fb6a-4ddb-8cc0-0bc0bfa211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c6068b8-72af-4ad3-a7b1-ed1fb59c04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5413EB-3F52-4B29-A320-49458572EF31}">
  <ds:schemaRefs/>
</ds:datastoreItem>
</file>

<file path=customXml/itemProps2.xml><?xml version="1.0" encoding="utf-8"?>
<ds:datastoreItem xmlns:ds="http://schemas.openxmlformats.org/officeDocument/2006/customXml" ds:itemID="{3B4075BA-3708-4CD5-9526-842A79997B17}">
  <ds:schemaRefs/>
</ds:datastoreItem>
</file>

<file path=customXml/itemProps3.xml><?xml version="1.0" encoding="utf-8"?>
<ds:datastoreItem xmlns:ds="http://schemas.openxmlformats.org/officeDocument/2006/customXml" ds:itemID="{653107AE-0061-4A05-BD77-240991B4826C}">
  <ds:schemaRefs/>
</ds:datastoreItem>
</file>

<file path=customXml/itemProps4.xml><?xml version="1.0" encoding="utf-8"?>
<ds:datastoreItem xmlns:ds="http://schemas.openxmlformats.org/officeDocument/2006/customXml" ds:itemID="{5B1DEE6F-AAF9-4E80-88E5-B97F8C6B4511}">
  <ds:schemaRefs/>
</ds:datastoreItem>
</file>

<file path=docProps/app.xml><?xml version="1.0" encoding="utf-8"?>
<Properties xmlns="http://schemas.openxmlformats.org/officeDocument/2006/extended-properties" xmlns:vt="http://schemas.openxmlformats.org/officeDocument/2006/docPropsVTypes">
  <Template>Normal.dotm</Template>
  <Company>IOM</Company>
  <Pages>4</Pages>
  <Words>1053</Words>
  <Characters>6005</Characters>
  <Lines>50</Lines>
  <Paragraphs>14</Paragraphs>
  <TotalTime>463</TotalTime>
  <ScaleCrop>false</ScaleCrop>
  <LinksUpToDate>false</LinksUpToDate>
  <CharactersWithSpaces>7044</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2020-01-28T13:39:00Z</dcterms:created>
  <dc:creator>gchernikov</dc:creator>
  <cp:lastModifiedBy>徐一平</cp:lastModifiedBy>
  <cp:lastPrinted>2012-02-09T06:27:00Z</cp:lastPrinted>
  <dcterms:modified xsi:type="dcterms:W3CDTF">2022-10-12T07:12:24Z</dcterms:modified>
  <dc:title>I</dc:title>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0x01010077ABADFEAB45FB409AA0A4C486B643FE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y fmtid="{D5CDD505-2E9C-101B-9397-08002B2CF9AE}" pid="23" name="KSOProductBuildVer">
    <vt:lpwstr>2052-11.8.2.11019</vt:lpwstr>
  </property>
  <property fmtid="{D5CDD505-2E9C-101B-9397-08002B2CF9AE}" pid="24" name="ICV">
    <vt:lpwstr>EB4BDAE5297A42A98302FF3D0840D9E0</vt:lpwstr>
  </property>
</Properties>
</file>